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35220" w14:textId="77777777" w:rsid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b/>
          <w:bCs/>
          <w:color w:val="050505"/>
          <w:sz w:val="28"/>
          <w:szCs w:val="28"/>
        </w:rPr>
      </w:pPr>
    </w:p>
    <w:p w14:paraId="6792911B" w14:textId="77777777" w:rsid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b/>
          <w:bCs/>
          <w:color w:val="050505"/>
          <w:sz w:val="28"/>
          <w:szCs w:val="28"/>
        </w:rPr>
      </w:pPr>
    </w:p>
    <w:p w14:paraId="7CD59FD5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b/>
          <w:bCs/>
          <w:color w:val="050505"/>
          <w:sz w:val="36"/>
          <w:szCs w:val="36"/>
        </w:rPr>
      </w:pPr>
      <w:r w:rsidRPr="004E1129">
        <w:rPr>
          <w:rFonts w:eastAsia="Times New Roman" w:cs="Times New Roman"/>
          <w:b/>
          <w:bCs/>
          <w:color w:val="050505"/>
          <w:sz w:val="36"/>
          <w:szCs w:val="36"/>
        </w:rPr>
        <w:t>ELEZIONI SIAE 5 SETTEMBRE 2022</w:t>
      </w:r>
    </w:p>
    <w:p w14:paraId="2A61A538" w14:textId="77777777" w:rsid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</w:p>
    <w:p w14:paraId="0857C405" w14:textId="77777777" w:rsidR="00D71316" w:rsidRPr="004E1129" w:rsidRDefault="00D71316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</w:p>
    <w:p w14:paraId="2A079A7B" w14:textId="14D10271" w:rsidR="00D71316" w:rsidRDefault="004E1129" w:rsidP="00D71316">
      <w:pPr>
        <w:shd w:val="clear" w:color="auto" w:fill="FFFFFF"/>
        <w:ind w:left="709" w:right="843"/>
        <w:jc w:val="center"/>
        <w:rPr>
          <w:rFonts w:eastAsia="Times New Roman" w:cs="Times New Roman"/>
          <w:b/>
          <w:bCs/>
          <w:color w:val="050505"/>
          <w:sz w:val="36"/>
          <w:szCs w:val="36"/>
        </w:rPr>
      </w:pPr>
      <w:r w:rsidRPr="004E1129">
        <w:rPr>
          <w:rFonts w:eastAsia="Times New Roman" w:cs="Times New Roman"/>
          <w:b/>
          <w:bCs/>
          <w:color w:val="050505"/>
          <w:sz w:val="36"/>
          <w:szCs w:val="36"/>
        </w:rPr>
        <w:t xml:space="preserve">Lista </w:t>
      </w:r>
      <w:r>
        <w:rPr>
          <w:rFonts w:eastAsia="Times New Roman" w:cs="Times New Roman"/>
          <w:b/>
          <w:bCs/>
          <w:color w:val="050505"/>
          <w:sz w:val="36"/>
          <w:szCs w:val="36"/>
        </w:rPr>
        <w:t xml:space="preserve">DOR </w:t>
      </w:r>
      <w:r w:rsidRPr="004E1129">
        <w:rPr>
          <w:rFonts w:eastAsia="Times New Roman" w:cs="Times New Roman"/>
          <w:b/>
          <w:bCs/>
          <w:color w:val="050505"/>
          <w:sz w:val="36"/>
          <w:szCs w:val="36"/>
          <w:u w:val="single"/>
        </w:rPr>
        <w:t>Anart per gli Autori</w:t>
      </w:r>
    </w:p>
    <w:p w14:paraId="2E533F55" w14:textId="77777777" w:rsidR="00D71316" w:rsidRDefault="00D71316" w:rsidP="00D71316">
      <w:pPr>
        <w:shd w:val="clear" w:color="auto" w:fill="FFFFFF"/>
        <w:ind w:left="709" w:right="843"/>
        <w:jc w:val="center"/>
        <w:rPr>
          <w:rFonts w:eastAsia="Times New Roman" w:cs="Times New Roman"/>
          <w:b/>
          <w:bCs/>
          <w:color w:val="050505"/>
          <w:sz w:val="36"/>
          <w:szCs w:val="36"/>
        </w:rPr>
      </w:pPr>
    </w:p>
    <w:p w14:paraId="7F0C0C1D" w14:textId="00BE3009" w:rsidR="004E1129" w:rsidRDefault="004E1129" w:rsidP="00D71316">
      <w:pPr>
        <w:shd w:val="clear" w:color="auto" w:fill="FFFFFF"/>
        <w:ind w:left="709" w:right="843"/>
        <w:jc w:val="center"/>
        <w:rPr>
          <w:rFonts w:eastAsia="Times New Roman" w:cs="Times New Roman"/>
          <w:b/>
          <w:bCs/>
          <w:color w:val="050505"/>
          <w:sz w:val="36"/>
          <w:szCs w:val="36"/>
        </w:rPr>
      </w:pPr>
      <w:r>
        <w:rPr>
          <w:rFonts w:eastAsia="Times New Roman" w:cs="Times New Roman"/>
          <w:b/>
          <w:bCs/>
          <w:color w:val="050505"/>
          <w:sz w:val="36"/>
          <w:szCs w:val="36"/>
        </w:rPr>
        <w:t>PROGRAMMA</w:t>
      </w:r>
    </w:p>
    <w:p w14:paraId="0C39AC46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36"/>
          <w:szCs w:val="36"/>
        </w:rPr>
      </w:pPr>
    </w:p>
    <w:p w14:paraId="1B92B719" w14:textId="77777777" w:rsid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>La lista </w:t>
      </w: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Anart per gli autori </w:t>
      </w:r>
      <w:r w:rsidRPr="004E1129">
        <w:rPr>
          <w:rFonts w:eastAsia="Times New Roman" w:cs="Times New Roman"/>
          <w:color w:val="050505"/>
          <w:sz w:val="28"/>
          <w:szCs w:val="28"/>
        </w:rPr>
        <w:t xml:space="preserve">viene presentata alla Sezione DOR della SIAE. </w:t>
      </w:r>
    </w:p>
    <w:p w14:paraId="6687005D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 xml:space="preserve">Sono 11 professionisti di vastissima </w:t>
      </w:r>
      <w:bookmarkStart w:id="0" w:name="_GoBack"/>
      <w:bookmarkEnd w:id="0"/>
      <w:r w:rsidRPr="004E1129">
        <w:rPr>
          <w:rFonts w:eastAsia="Times New Roman" w:cs="Times New Roman"/>
          <w:color w:val="050505"/>
          <w:sz w:val="28"/>
          <w:szCs w:val="28"/>
        </w:rPr>
        <w:t>esperienza nel settore dell’intrattenimento radiotelevisivo e nel campo del teatro. Alcuni hanno già operato in Siae all’interno del Consiglio di Sorveglianza e della Commissione Dor.</w:t>
      </w:r>
    </w:p>
    <w:p w14:paraId="6425D829" w14:textId="77777777" w:rsid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>Riteniamo importante partecipare alle elezioni perché riconosciamo il ruolo della Siae a sostegno del diritto d’autore. Intendiamo assumerci l’impegno di incentivare l’efficienza e la trasparenza nelle ripartizioni, in particolare nel passaggio alla digitalizzazione delle iscrizioni e dei depositi delle opere radiotelevisive, teatrali e dei format, anche al fine di limitare i costi gestionali della Sezione Dor.</w:t>
      </w:r>
    </w:p>
    <w:p w14:paraId="1AE277B6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</w:p>
    <w:p w14:paraId="7D173A49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Opere radiotelevisive e format</w:t>
      </w:r>
    </w:p>
    <w:p w14:paraId="7F23F30F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Obiettivi</w:t>
      </w:r>
    </w:p>
    <w:p w14:paraId="2130800F" w14:textId="77777777" w:rsidR="004E1129" w:rsidRPr="004E1129" w:rsidRDefault="004E1129" w:rsidP="00C24099">
      <w:pPr>
        <w:pStyle w:val="Paragrafoelenco"/>
        <w:numPr>
          <w:ilvl w:val="0"/>
          <w:numId w:val="1"/>
        </w:num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>Riconoscimento del diritto d’autore per tutti i programmi di intrattenimento radiofonici e televisivi in cui il ruolo degli autori sia indispensabile e rilevante, compreso il ruolo di autori nell’adattamento dei format importati</w:t>
      </w:r>
    </w:p>
    <w:p w14:paraId="5CAD91CB" w14:textId="77777777" w:rsidR="004E1129" w:rsidRPr="004E1129" w:rsidRDefault="004E1129" w:rsidP="00C24099">
      <w:pPr>
        <w:pStyle w:val="Paragrafoelenco"/>
        <w:numPr>
          <w:ilvl w:val="0"/>
          <w:numId w:val="1"/>
        </w:num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>Riconoscimento del diritto d’autore a tutte le opere d’intrattenimento diffuse via web.</w:t>
      </w:r>
    </w:p>
    <w:p w14:paraId="09BF0A7E" w14:textId="77777777" w:rsidR="004E1129" w:rsidRPr="004E1129" w:rsidRDefault="004E1129" w:rsidP="00C24099">
      <w:pPr>
        <w:pStyle w:val="Paragrafoelenco"/>
        <w:numPr>
          <w:ilvl w:val="0"/>
          <w:numId w:val="1"/>
        </w:num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>Rinnovo del contratto Siae-Rai con l’aggiornamento e ampliamento dei generi radiotelevisivi tutelati, che non rispecchiano da anni le opere utilizzate attualmente, compresi i format di maggiore diffusione</w:t>
      </w:r>
    </w:p>
    <w:p w14:paraId="01022CEA" w14:textId="77777777" w:rsidR="004E1129" w:rsidRPr="004E1129" w:rsidRDefault="004E1129" w:rsidP="00C24099">
      <w:pPr>
        <w:pStyle w:val="Paragrafoelenco"/>
        <w:numPr>
          <w:ilvl w:val="0"/>
          <w:numId w:val="1"/>
        </w:num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>Applicazione del Decreto Copyright ( 177 – 2021). In particolare gli articoli che regolano i rapporti fra autori, cessionari e licenziatari che limitano il tempo per la concessione dei diritti e introducono la possibilità di rinegoziare i contratti di cessione qualora l’ammontare dei diritti negoziati per le loro opere siano largamente inferiori ai proventi da esse generati.</w:t>
      </w:r>
    </w:p>
    <w:p w14:paraId="4B81B5C5" w14:textId="77777777" w:rsid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b/>
          <w:bCs/>
          <w:color w:val="050505"/>
          <w:sz w:val="28"/>
          <w:szCs w:val="28"/>
        </w:rPr>
      </w:pPr>
    </w:p>
    <w:p w14:paraId="4A271937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Teatro</w:t>
      </w:r>
    </w:p>
    <w:p w14:paraId="58FF1F55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 xml:space="preserve">I nostri candidati, autori drammaturghi e rappresentanti del </w:t>
      </w:r>
      <w:r w:rsidRPr="004E1129">
        <w:rPr>
          <w:rFonts w:eastAsia="Times New Roman" w:cs="Times New Roman"/>
          <w:b/>
          <w:color w:val="050505"/>
          <w:sz w:val="28"/>
          <w:szCs w:val="28"/>
        </w:rPr>
        <w:t xml:space="preserve">CENDIC </w:t>
      </w:r>
      <w:r>
        <w:rPr>
          <w:rFonts w:eastAsia="Times New Roman" w:cs="Times New Roman"/>
          <w:color w:val="050505"/>
          <w:sz w:val="28"/>
          <w:szCs w:val="28"/>
        </w:rPr>
        <w:t>(</w:t>
      </w:r>
      <w:r w:rsidRPr="004E1129">
        <w:rPr>
          <w:rFonts w:eastAsia="Times New Roman" w:cs="Times New Roman"/>
          <w:color w:val="050505"/>
          <w:sz w:val="28"/>
          <w:szCs w:val="28"/>
        </w:rPr>
        <w:t xml:space="preserve">Centro Nazionale di Drammaturgia Italiana Contemporanea) si attiveranno per i seguenti </w:t>
      </w:r>
      <w:r w:rsidRPr="004E1129">
        <w:rPr>
          <w:rFonts w:eastAsia="Times New Roman" w:cs="Times New Roman"/>
          <w:b/>
          <w:color w:val="050505"/>
          <w:sz w:val="28"/>
          <w:szCs w:val="28"/>
        </w:rPr>
        <w:t>obiettivi</w:t>
      </w:r>
      <w:r w:rsidRPr="004E1129">
        <w:rPr>
          <w:rFonts w:eastAsia="Times New Roman" w:cs="Times New Roman"/>
          <w:color w:val="050505"/>
          <w:sz w:val="28"/>
          <w:szCs w:val="28"/>
        </w:rPr>
        <w:t>:</w:t>
      </w:r>
    </w:p>
    <w:p w14:paraId="4E61DD3D" w14:textId="77777777" w:rsidR="004E1129" w:rsidRPr="004E1129" w:rsidRDefault="004E1129" w:rsidP="00C24099">
      <w:pPr>
        <w:pStyle w:val="Paragrafoelenco"/>
        <w:numPr>
          <w:ilvl w:val="0"/>
          <w:numId w:val="2"/>
        </w:num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>Individuare le possibilità di gestione digitale dei depositi dei borderò, con conseguente monitoraggio automatico degli aventi diritto ai relativi diritti d’autore.</w:t>
      </w:r>
    </w:p>
    <w:p w14:paraId="1B715371" w14:textId="77777777" w:rsidR="004E1129" w:rsidRPr="004E1129" w:rsidRDefault="004E1129" w:rsidP="00C24099">
      <w:pPr>
        <w:pStyle w:val="Paragrafoelenco"/>
        <w:numPr>
          <w:ilvl w:val="0"/>
          <w:numId w:val="2"/>
        </w:num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>Contrastare la diffusa pratica della cessione perenne di una parte dei diritti dei drammaturghi alle compagnie e ai produttori teatrali attraverso la cointestazione del bollettino di deposito.</w:t>
      </w:r>
    </w:p>
    <w:p w14:paraId="659AC734" w14:textId="77777777" w:rsidR="004E1129" w:rsidRPr="004E1129" w:rsidRDefault="004E1129" w:rsidP="00C24099">
      <w:pPr>
        <w:pStyle w:val="Paragrafoelenco"/>
        <w:numPr>
          <w:ilvl w:val="0"/>
          <w:numId w:val="2"/>
        </w:num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>Contrastare la pratica del plagio simulato da riscritture e cambi di titolo, al fine di eludere il pagamento dei diritti d’autore al reale avente diritto.</w:t>
      </w:r>
    </w:p>
    <w:p w14:paraId="7DD8F5B8" w14:textId="77777777" w:rsidR="004E1129" w:rsidRPr="004E1129" w:rsidRDefault="004E1129" w:rsidP="00C24099">
      <w:pPr>
        <w:pStyle w:val="Paragrafoelenco"/>
        <w:numPr>
          <w:ilvl w:val="0"/>
          <w:numId w:val="2"/>
        </w:num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>Introdurre il principio che per accedere a qualsivoglia forma di sostegno e contributo pubblico, FUS compreso, ogni organismo di produzione, pubblico o privato, debba essere in regola con il versamento dei diritti d’autore.</w:t>
      </w:r>
    </w:p>
    <w:p w14:paraId="0757A043" w14:textId="77777777" w:rsidR="004E1129" w:rsidRPr="004E1129" w:rsidRDefault="004E1129" w:rsidP="00C24099">
      <w:pPr>
        <w:pStyle w:val="Paragrafoelenco"/>
        <w:numPr>
          <w:ilvl w:val="0"/>
          <w:numId w:val="2"/>
        </w:num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>Sostenere con il contributo della Siae la battaglia per la riduzione al 4%, come per i libri, dell’IVA sui biglietti degli spettacoli teatrali e per la contemporanea reintroduzione, nella misura del 2% , del pagamento dei diritti sulle opere di pubblico dominio (ex articolo 175 della legge 633/41), destinandone i proventi allo sviluppo e al sostegno della nuova drammaturgia nazionale (Teatro dedicato alla drammaturgia contemporanea; residenze per autori; borse di studio per autori).</w:t>
      </w:r>
    </w:p>
    <w:p w14:paraId="47ABED1A" w14:textId="77777777" w:rsid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b/>
          <w:bCs/>
          <w:color w:val="050505"/>
          <w:sz w:val="28"/>
          <w:szCs w:val="28"/>
        </w:rPr>
      </w:pPr>
    </w:p>
    <w:p w14:paraId="29B3D238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Assistenza</w:t>
      </w:r>
    </w:p>
    <w:p w14:paraId="729464AA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b/>
          <w:color w:val="050505"/>
          <w:sz w:val="28"/>
          <w:szCs w:val="28"/>
        </w:rPr>
      </w:pPr>
      <w:r w:rsidRPr="004E1129">
        <w:rPr>
          <w:rFonts w:eastAsia="Times New Roman" w:cs="Times New Roman"/>
          <w:b/>
          <w:color w:val="050505"/>
          <w:sz w:val="28"/>
          <w:szCs w:val="28"/>
        </w:rPr>
        <w:t>Individuazione di un sistema di assistenza per gli autori indigenti</w:t>
      </w:r>
    </w:p>
    <w:p w14:paraId="41E6C20C" w14:textId="77777777" w:rsid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</w:p>
    <w:p w14:paraId="4CAF1C9A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>Riteniamo importante rendervi nota anche l’attività extra Siae a cui i rappresentanti dell’Anart stanno collaborando .</w:t>
      </w:r>
    </w:p>
    <w:p w14:paraId="74E91C67" w14:textId="77777777" w:rsid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</w:p>
    <w:p w14:paraId="2DF3A12B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 xml:space="preserve">Anart insieme alle altre associazioni di </w:t>
      </w:r>
      <w:r w:rsidRPr="004E1129">
        <w:rPr>
          <w:rFonts w:eastAsia="Times New Roman" w:cs="Times New Roman"/>
          <w:b/>
          <w:color w:val="050505"/>
          <w:sz w:val="28"/>
          <w:szCs w:val="28"/>
        </w:rPr>
        <w:t>UNA</w:t>
      </w:r>
      <w:r>
        <w:rPr>
          <w:rFonts w:eastAsia="Times New Roman" w:cs="Times New Roman"/>
          <w:color w:val="050505"/>
          <w:sz w:val="28"/>
          <w:szCs w:val="28"/>
        </w:rPr>
        <w:t>-Unione Nazionale Autori, tra cui il CENDIC,</w:t>
      </w:r>
      <w:r w:rsidRPr="004E1129">
        <w:rPr>
          <w:rFonts w:eastAsia="Times New Roman" w:cs="Times New Roman"/>
          <w:color w:val="050505"/>
          <w:sz w:val="28"/>
          <w:szCs w:val="28"/>
        </w:rPr>
        <w:t xml:space="preserve"> sta contribuendo ad un progetto di riforma essenziale per la categoria degli AUTORI RADIOTELEVISIVI DELL’INTRATTENIMENTO, affinché vengano riconosciuti sempre contrattualmente come lavoratori dello spettacolo e che quindi usufruiscano dello stesso sistema contributivo, fiscale, ecc. degli altri Lavoratori dello Spettacolo.</w:t>
      </w:r>
    </w:p>
    <w:p w14:paraId="767AAAEF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 xml:space="preserve">Inoltre stiamo lavorando al </w:t>
      </w:r>
      <w:r w:rsidRPr="004E1129">
        <w:rPr>
          <w:rFonts w:eastAsia="Times New Roman" w:cs="Times New Roman"/>
          <w:b/>
          <w:color w:val="050505"/>
          <w:sz w:val="28"/>
          <w:szCs w:val="28"/>
        </w:rPr>
        <w:t>Riconoscimento giuridico della figura professionale</w:t>
      </w:r>
      <w:r w:rsidRPr="004E1129">
        <w:rPr>
          <w:rFonts w:eastAsia="Times New Roman" w:cs="Times New Roman"/>
          <w:color w:val="050505"/>
          <w:sz w:val="28"/>
          <w:szCs w:val="28"/>
        </w:rPr>
        <w:t xml:space="preserve"> dell’Autore (riferimento Legge 14 gennaio 2013 N.4- Disposizioni in materia di professioni non organizzate), per cui ogni Autore può compiere un percorso per venire inserito nell’elenco dei professionisti disposto dalla Legge n.4-2013.</w:t>
      </w:r>
    </w:p>
    <w:p w14:paraId="5AFC9B7E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 xml:space="preserve">Stiamo collaborando ad una </w:t>
      </w:r>
      <w:r w:rsidRPr="004E1129">
        <w:rPr>
          <w:rFonts w:eastAsia="Times New Roman" w:cs="Times New Roman"/>
          <w:b/>
          <w:color w:val="050505"/>
          <w:sz w:val="28"/>
          <w:szCs w:val="28"/>
        </w:rPr>
        <w:t>Legge di riforma del settore creativo, dello spettacolo e delle arti performative</w:t>
      </w:r>
      <w:r w:rsidRPr="004E1129">
        <w:rPr>
          <w:rFonts w:eastAsia="Times New Roman" w:cs="Times New Roman"/>
          <w:color w:val="050505"/>
          <w:sz w:val="28"/>
          <w:szCs w:val="28"/>
        </w:rPr>
        <w:t xml:space="preserve"> che preveda tutele previdenziali (armonizzazione e congiunzione montanti contributi ex Enpals e Inps), contrattuali ed equità fiscale per i lavoratori discontinui dello spettacolo.</w:t>
      </w:r>
    </w:p>
    <w:p w14:paraId="27E6169A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 xml:space="preserve">Ci stiamo battendo in tutte le sedi necessarie affinché l'applicazione del </w:t>
      </w:r>
      <w:r w:rsidRPr="004E1129">
        <w:rPr>
          <w:rFonts w:eastAsia="Times New Roman" w:cs="Times New Roman"/>
          <w:b/>
          <w:color w:val="050505"/>
          <w:sz w:val="28"/>
          <w:szCs w:val="28"/>
        </w:rPr>
        <w:t>prelievo fiscale su proventi da diritti d’autore venga calcolato su base triennale</w:t>
      </w:r>
      <w:r w:rsidRPr="004E1129">
        <w:rPr>
          <w:rFonts w:eastAsia="Times New Roman" w:cs="Times New Roman"/>
          <w:color w:val="050505"/>
          <w:sz w:val="28"/>
          <w:szCs w:val="28"/>
        </w:rPr>
        <w:t>, anziché su base annuale.</w:t>
      </w:r>
    </w:p>
    <w:p w14:paraId="40FDE604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color w:val="050505"/>
          <w:sz w:val="28"/>
          <w:szCs w:val="28"/>
        </w:rPr>
        <w:t>Ci stiamo attivando per contrastare la difficoltà di accesso degli autori privi di una matricola nei programmi di intrattenimento Rai</w:t>
      </w:r>
      <w:r>
        <w:rPr>
          <w:rFonts w:eastAsia="Times New Roman" w:cs="Times New Roman"/>
          <w:color w:val="050505"/>
          <w:sz w:val="28"/>
          <w:szCs w:val="28"/>
        </w:rPr>
        <w:t>.</w:t>
      </w:r>
    </w:p>
    <w:p w14:paraId="676DF9A6" w14:textId="77777777" w:rsid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b/>
          <w:bCs/>
          <w:color w:val="050505"/>
          <w:sz w:val="28"/>
          <w:szCs w:val="28"/>
        </w:rPr>
      </w:pPr>
    </w:p>
    <w:p w14:paraId="010F391D" w14:textId="77777777" w:rsid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b/>
          <w:bCs/>
          <w:color w:val="050505"/>
          <w:sz w:val="28"/>
          <w:szCs w:val="28"/>
        </w:rPr>
      </w:pP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Invitiamo tutti gli autori iscritti alla Siae a partecipare all’Assemblea Elettiva convocata presso l’Auditorium della Conciliazione, via della Conciliazione n.4 –ROMA-</w:t>
      </w:r>
      <w:r>
        <w:rPr>
          <w:rFonts w:eastAsia="Times New Roman" w:cs="Times New Roman"/>
          <w:b/>
          <w:bCs/>
          <w:color w:val="050505"/>
          <w:sz w:val="28"/>
          <w:szCs w:val="28"/>
        </w:rPr>
        <w:t xml:space="preserve"> </w:t>
      </w: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il giorno 5 sett</w:t>
      </w:r>
      <w:r>
        <w:rPr>
          <w:rFonts w:eastAsia="Times New Roman" w:cs="Times New Roman"/>
          <w:b/>
          <w:bCs/>
          <w:color w:val="050505"/>
          <w:sz w:val="28"/>
          <w:szCs w:val="28"/>
        </w:rPr>
        <w:t xml:space="preserve">embre con inizio alle ore 11. </w:t>
      </w:r>
    </w:p>
    <w:p w14:paraId="400EBEEA" w14:textId="77777777" w:rsid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b/>
          <w:bCs/>
          <w:color w:val="050505"/>
          <w:sz w:val="28"/>
          <w:szCs w:val="28"/>
        </w:rPr>
      </w:pPr>
      <w:r>
        <w:rPr>
          <w:rFonts w:eastAsia="Times New Roman" w:cs="Times New Roman"/>
          <w:b/>
          <w:bCs/>
          <w:color w:val="050505"/>
          <w:sz w:val="28"/>
          <w:szCs w:val="28"/>
        </w:rPr>
        <w:t>È</w:t>
      </w: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 xml:space="preserve"> possibile votare da remoto.</w:t>
      </w:r>
    </w:p>
    <w:p w14:paraId="10BEE563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</w:p>
    <w:p w14:paraId="0672C5C2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32"/>
          <w:szCs w:val="32"/>
        </w:rPr>
      </w:pPr>
      <w:r w:rsidRPr="004E1129">
        <w:rPr>
          <w:rFonts w:eastAsia="Times New Roman" w:cs="Times New Roman"/>
          <w:b/>
          <w:bCs/>
          <w:color w:val="050505"/>
          <w:sz w:val="32"/>
          <w:szCs w:val="32"/>
        </w:rPr>
        <w:t>Lista Autori DOR</w:t>
      </w:r>
    </w:p>
    <w:p w14:paraId="7C195F31" w14:textId="77777777" w:rsid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b/>
          <w:bCs/>
          <w:color w:val="050505"/>
          <w:sz w:val="32"/>
          <w:szCs w:val="32"/>
        </w:rPr>
      </w:pPr>
      <w:r w:rsidRPr="004E1129">
        <w:rPr>
          <w:rFonts w:eastAsia="Times New Roman" w:cs="Times New Roman"/>
          <w:b/>
          <w:bCs/>
          <w:color w:val="050505"/>
          <w:sz w:val="32"/>
          <w:szCs w:val="32"/>
        </w:rPr>
        <w:t>ANART per gli Autori</w:t>
      </w:r>
    </w:p>
    <w:p w14:paraId="7465D215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32"/>
          <w:szCs w:val="32"/>
        </w:rPr>
      </w:pPr>
    </w:p>
    <w:p w14:paraId="0139766E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1)</w:t>
      </w:r>
      <w:r w:rsidRPr="004E1129">
        <w:rPr>
          <w:rFonts w:eastAsia="Times New Roman" w:cs="Times New Roman"/>
          <w:color w:val="050505"/>
          <w:sz w:val="28"/>
          <w:szCs w:val="28"/>
        </w:rPr>
        <w:t> </w:t>
      </w: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STEFANO SARCINELLI</w:t>
      </w:r>
    </w:p>
    <w:p w14:paraId="148104BF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2)</w:t>
      </w:r>
      <w:r w:rsidRPr="004E1129">
        <w:rPr>
          <w:rFonts w:eastAsia="Times New Roman" w:cs="Times New Roman"/>
          <w:color w:val="050505"/>
          <w:sz w:val="28"/>
          <w:szCs w:val="28"/>
        </w:rPr>
        <w:t> </w:t>
      </w: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ALVISE BORGHI</w:t>
      </w:r>
    </w:p>
    <w:p w14:paraId="349FE25D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3)</w:t>
      </w:r>
      <w:r w:rsidRPr="004E1129">
        <w:rPr>
          <w:rFonts w:eastAsia="Times New Roman" w:cs="Times New Roman"/>
          <w:color w:val="050505"/>
          <w:sz w:val="28"/>
          <w:szCs w:val="28"/>
        </w:rPr>
        <w:t> </w:t>
      </w: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RICCARDO DISTEFANO</w:t>
      </w:r>
    </w:p>
    <w:p w14:paraId="74BBD9FE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4)</w:t>
      </w:r>
      <w:r w:rsidRPr="004E1129">
        <w:rPr>
          <w:rFonts w:eastAsia="Times New Roman" w:cs="Times New Roman"/>
          <w:color w:val="050505"/>
          <w:sz w:val="28"/>
          <w:szCs w:val="28"/>
        </w:rPr>
        <w:t> </w:t>
      </w: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ALESSANDRO MEAZZA</w:t>
      </w:r>
    </w:p>
    <w:p w14:paraId="65A6E36A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5)</w:t>
      </w:r>
      <w:r w:rsidRPr="004E1129">
        <w:rPr>
          <w:rFonts w:eastAsia="Times New Roman" w:cs="Times New Roman"/>
          <w:color w:val="050505"/>
          <w:sz w:val="28"/>
          <w:szCs w:val="28"/>
        </w:rPr>
        <w:t> </w:t>
      </w: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GIOVANNA FLORA</w:t>
      </w:r>
    </w:p>
    <w:p w14:paraId="4E6F3E96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6)</w:t>
      </w:r>
      <w:r w:rsidRPr="004E1129">
        <w:rPr>
          <w:rFonts w:eastAsia="Times New Roman" w:cs="Times New Roman"/>
          <w:color w:val="050505"/>
          <w:sz w:val="28"/>
          <w:szCs w:val="28"/>
        </w:rPr>
        <w:t> </w:t>
      </w: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MARIA LETIZIA COMPATANGELO</w:t>
      </w:r>
    </w:p>
    <w:p w14:paraId="1CC0DB9C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7)</w:t>
      </w:r>
      <w:r w:rsidRPr="004E1129">
        <w:rPr>
          <w:rFonts w:eastAsia="Times New Roman" w:cs="Times New Roman"/>
          <w:color w:val="050505"/>
          <w:sz w:val="28"/>
          <w:szCs w:val="28"/>
        </w:rPr>
        <w:t> </w:t>
      </w: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GIANLUCA BELARDI</w:t>
      </w:r>
    </w:p>
    <w:p w14:paraId="2DB59E5B" w14:textId="0479DD1B" w:rsidR="004E1129" w:rsidRPr="004E1129" w:rsidRDefault="002D0C75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>
        <w:rPr>
          <w:rFonts w:eastAsia="Times New Roman" w:cs="Times New Roman"/>
          <w:noProof/>
          <w:color w:val="050505"/>
          <w:sz w:val="28"/>
          <w:szCs w:val="28"/>
        </w:rPr>
        <w:t>8)</w:t>
      </w:r>
      <w:r w:rsidR="004E1129" w:rsidRPr="004E1129">
        <w:rPr>
          <w:rFonts w:eastAsia="Times New Roman" w:cs="Times New Roman"/>
          <w:color w:val="050505"/>
          <w:sz w:val="28"/>
          <w:szCs w:val="28"/>
        </w:rPr>
        <w:t> </w:t>
      </w:r>
      <w:r w:rsidR="004E1129" w:rsidRPr="004E1129">
        <w:rPr>
          <w:rFonts w:eastAsia="Times New Roman" w:cs="Times New Roman"/>
          <w:b/>
          <w:bCs/>
          <w:color w:val="050505"/>
          <w:sz w:val="28"/>
          <w:szCs w:val="28"/>
        </w:rPr>
        <w:t>MARCO POSANI</w:t>
      </w:r>
    </w:p>
    <w:p w14:paraId="2B88C2C1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9)</w:t>
      </w:r>
      <w:r w:rsidRPr="004E1129">
        <w:rPr>
          <w:rFonts w:eastAsia="Times New Roman" w:cs="Times New Roman"/>
          <w:color w:val="050505"/>
          <w:sz w:val="28"/>
          <w:szCs w:val="28"/>
        </w:rPr>
        <w:t> </w:t>
      </w: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PIETRO GALEOTTI</w:t>
      </w:r>
    </w:p>
    <w:p w14:paraId="38A43AB5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10)</w:t>
      </w:r>
      <w:r w:rsidRPr="004E1129">
        <w:rPr>
          <w:rFonts w:eastAsia="Times New Roman" w:cs="Times New Roman"/>
          <w:color w:val="050505"/>
          <w:sz w:val="28"/>
          <w:szCs w:val="28"/>
        </w:rPr>
        <w:t> </w:t>
      </w: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LUCA REA</w:t>
      </w:r>
    </w:p>
    <w:p w14:paraId="0F6D0E5E" w14:textId="77777777" w:rsidR="004E1129" w:rsidRPr="004E1129" w:rsidRDefault="004E1129" w:rsidP="00C24099">
      <w:pPr>
        <w:shd w:val="clear" w:color="auto" w:fill="FFFFFF"/>
        <w:ind w:left="709" w:right="843"/>
        <w:jc w:val="both"/>
        <w:rPr>
          <w:rFonts w:eastAsia="Times New Roman" w:cs="Times New Roman"/>
          <w:color w:val="050505"/>
          <w:sz w:val="28"/>
          <w:szCs w:val="28"/>
        </w:rPr>
      </w:pP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11)</w:t>
      </w:r>
      <w:r w:rsidRPr="004E1129">
        <w:rPr>
          <w:rFonts w:eastAsia="Times New Roman" w:cs="Times New Roman"/>
          <w:color w:val="050505"/>
          <w:sz w:val="28"/>
          <w:szCs w:val="28"/>
        </w:rPr>
        <w:t> </w:t>
      </w:r>
      <w:r w:rsidRPr="004E1129">
        <w:rPr>
          <w:rFonts w:eastAsia="Times New Roman" w:cs="Times New Roman"/>
          <w:b/>
          <w:bCs/>
          <w:color w:val="050505"/>
          <w:sz w:val="28"/>
          <w:szCs w:val="28"/>
        </w:rPr>
        <w:t>SALVINO LOREFICE</w:t>
      </w:r>
    </w:p>
    <w:p w14:paraId="65CCF31B" w14:textId="77777777" w:rsidR="004147FF" w:rsidRPr="004E1129" w:rsidRDefault="004147FF" w:rsidP="00C24099">
      <w:pPr>
        <w:ind w:left="709" w:right="843"/>
        <w:jc w:val="both"/>
        <w:rPr>
          <w:sz w:val="28"/>
          <w:szCs w:val="28"/>
        </w:rPr>
      </w:pPr>
    </w:p>
    <w:sectPr w:rsidR="004147FF" w:rsidRPr="004E1129" w:rsidSect="00342FB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314E"/>
    <w:multiLevelType w:val="hybridMultilevel"/>
    <w:tmpl w:val="5AC0F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71346"/>
    <w:multiLevelType w:val="hybridMultilevel"/>
    <w:tmpl w:val="3CD062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29"/>
    <w:rsid w:val="002D0C75"/>
    <w:rsid w:val="00342FB9"/>
    <w:rsid w:val="004147FF"/>
    <w:rsid w:val="004E1129"/>
    <w:rsid w:val="00C24099"/>
    <w:rsid w:val="00D7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EB13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2edcug0">
    <w:name w:val="d2edcug0"/>
    <w:basedOn w:val="Caratterepredefinitoparagrafo"/>
    <w:rsid w:val="004E11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12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1129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E11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2edcug0">
    <w:name w:val="d2edcug0"/>
    <w:basedOn w:val="Caratterepredefinitoparagrafo"/>
    <w:rsid w:val="004E11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12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E1129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E1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1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0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3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5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3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4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6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8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9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5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6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7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9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5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492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773</Words>
  <Characters>4407</Characters>
  <Application>Microsoft Macintosh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2022-08-14T17:07:00Z</dcterms:created>
  <dcterms:modified xsi:type="dcterms:W3CDTF">2022-08-25T14:47:00Z</dcterms:modified>
</cp:coreProperties>
</file>